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F376E" w14:textId="1719E194" w:rsidR="003D684B" w:rsidRDefault="00165979">
      <w:r>
        <w:fldChar w:fldCharType="begin"/>
      </w:r>
      <w:r>
        <w:instrText xml:space="preserve"> HYPERLINK "http://ctclinkreferencecenter.ctclink.us/m/79717/l/928090-9-2-running-the-identify-age-50-extensions" </w:instrText>
      </w:r>
      <w:r>
        <w:fldChar w:fldCharType="separate"/>
      </w:r>
      <w:r w:rsidRPr="00165979">
        <w:rPr>
          <w:rStyle w:val="Hyperlink"/>
        </w:rPr>
        <w:t xml:space="preserve">Running the </w:t>
      </w:r>
      <w:r w:rsidR="00054604">
        <w:rPr>
          <w:rStyle w:val="Hyperlink"/>
        </w:rPr>
        <w:t xml:space="preserve">Savings Age Catch Up Extension Process (formally known as the Identify </w:t>
      </w:r>
      <w:r w:rsidRPr="00165979">
        <w:rPr>
          <w:rStyle w:val="Hyperlink"/>
        </w:rPr>
        <w:t>Age 50 Extension</w:t>
      </w:r>
      <w:r w:rsidR="00054604">
        <w:rPr>
          <w:rStyle w:val="Hyperlink"/>
        </w:rPr>
        <w:t>s</w:t>
      </w:r>
      <w:r>
        <w:fldChar w:fldCharType="end"/>
      </w:r>
      <w:r>
        <w:t xml:space="preserve"> (QRG is GREAT I just modified it a bit)</w:t>
      </w:r>
    </w:p>
    <w:p w14:paraId="011E32FC" w14:textId="77777777" w:rsidR="00165979" w:rsidRDefault="00165979"/>
    <w:p w14:paraId="7E968D9D" w14:textId="57F613AB" w:rsidR="00165979" w:rsidRPr="00025B97" w:rsidRDefault="00165979" w:rsidP="00165979">
      <w:pPr>
        <w:rPr>
          <w:highlight w:val="lightGray"/>
        </w:rPr>
      </w:pPr>
      <w:r w:rsidRPr="00025B97">
        <w:rPr>
          <w:b/>
          <w:bCs/>
          <w:highlight w:val="lightGray"/>
        </w:rPr>
        <w:t xml:space="preserve">Purpose: </w:t>
      </w:r>
      <w:r w:rsidRPr="00025B97">
        <w:rPr>
          <w:highlight w:val="lightGray"/>
        </w:rPr>
        <w:t>Use this document as a reference for how to run the Age 50 Extensions for 403b and 457 savings plans in ctcLink.</w:t>
      </w:r>
    </w:p>
    <w:p w14:paraId="70C3B658" w14:textId="77777777" w:rsidR="00165979" w:rsidRPr="00025B97" w:rsidRDefault="00165979" w:rsidP="00165979">
      <w:pPr>
        <w:rPr>
          <w:b/>
          <w:bCs/>
          <w:highlight w:val="lightGray"/>
        </w:rPr>
      </w:pPr>
    </w:p>
    <w:p w14:paraId="38A8BE83" w14:textId="77777777" w:rsidR="00054604" w:rsidRDefault="00054604" w:rsidP="00054604">
      <w:pPr>
        <w:rPr>
          <w:i/>
          <w:iCs/>
          <w:highlight w:val="lightGray"/>
        </w:rPr>
      </w:pPr>
      <w:r w:rsidRPr="00054604">
        <w:rPr>
          <w:i/>
          <w:iCs/>
          <w:highlight w:val="lightGray"/>
        </w:rPr>
        <w:t>The Savings Age Catch Up Extension process identifies the employees who are age 50 or more and it creates Age-50 limit extension records that increase the 402(g) Savings Plan limits, the 457 Savings Plan limits, or both for elective deferrals as authorized by IRS regulations.</w:t>
      </w:r>
    </w:p>
    <w:p w14:paraId="1BCD2A71" w14:textId="77777777" w:rsidR="00054604" w:rsidRPr="00054604" w:rsidRDefault="00054604" w:rsidP="00054604">
      <w:pPr>
        <w:rPr>
          <w:i/>
          <w:iCs/>
          <w:highlight w:val="lightGray"/>
        </w:rPr>
      </w:pPr>
    </w:p>
    <w:p w14:paraId="3CA17943" w14:textId="77777777" w:rsidR="00054604" w:rsidRPr="00054604" w:rsidRDefault="00054604" w:rsidP="00054604">
      <w:pPr>
        <w:rPr>
          <w:i/>
          <w:iCs/>
          <w:highlight w:val="lightGray"/>
        </w:rPr>
      </w:pPr>
      <w:r w:rsidRPr="00054604">
        <w:rPr>
          <w:i/>
          <w:iCs/>
          <w:highlight w:val="lightGray"/>
        </w:rPr>
        <w:t>This process identifies and allows for those employees eligible for the 457 15 year catch-up, and the 403(b) age 50 extensions, to have the additional deduction limit of $</w:t>
      </w:r>
      <w:proofErr w:type="spellStart"/>
      <w:proofErr w:type="gramStart"/>
      <w:r w:rsidRPr="00054604">
        <w:rPr>
          <w:i/>
          <w:iCs/>
          <w:color w:val="FF0000"/>
          <w:highlight w:val="lightGray"/>
        </w:rPr>
        <w:t>xxxx.xx</w:t>
      </w:r>
      <w:proofErr w:type="spellEnd"/>
      <w:proofErr w:type="gramEnd"/>
      <w:r w:rsidRPr="00054604">
        <w:rPr>
          <w:i/>
          <w:iCs/>
          <w:color w:val="FF0000"/>
          <w:highlight w:val="lightGray"/>
        </w:rPr>
        <w:t xml:space="preserve"> </w:t>
      </w:r>
      <w:r w:rsidRPr="00054604">
        <w:rPr>
          <w:i/>
          <w:iCs/>
          <w:highlight w:val="lightGray"/>
        </w:rPr>
        <w:t>added to their 457 and 403(b) plan</w:t>
      </w:r>
    </w:p>
    <w:p w14:paraId="57C246F3" w14:textId="29C6549C" w:rsidR="00165979" w:rsidRPr="00025B97" w:rsidRDefault="00165979" w:rsidP="00165979">
      <w:pPr>
        <w:rPr>
          <w:b/>
          <w:color w:val="FF0000"/>
          <w:highlight w:val="lightGray"/>
        </w:rPr>
      </w:pPr>
      <w:r w:rsidRPr="00025B97">
        <w:rPr>
          <w:highlight w:val="lightGray"/>
        </w:rPr>
        <w:t xml:space="preserve"> -</w:t>
      </w:r>
      <w:r w:rsidR="00025B97">
        <w:rPr>
          <w:highlight w:val="lightGray"/>
        </w:rPr>
        <w:t xml:space="preserve"> </w:t>
      </w:r>
      <w:r w:rsidRPr="00025B97">
        <w:rPr>
          <w:b/>
          <w:bCs/>
          <w:highlight w:val="lightGray"/>
          <w:u w:val="single"/>
        </w:rPr>
        <w:t>Verify limit amounts with IRS</w:t>
      </w:r>
      <w:r w:rsidRPr="00025B97">
        <w:rPr>
          <w:highlight w:val="lightGray"/>
        </w:rPr>
        <w:t xml:space="preserve">. </w:t>
      </w:r>
      <w:r w:rsidRPr="00025B97">
        <w:rPr>
          <w:b/>
          <w:color w:val="FF0000"/>
          <w:highlight w:val="lightGray"/>
        </w:rPr>
        <w:t>The 402(g) is the limit type for the 403(b) plan.</w:t>
      </w:r>
    </w:p>
    <w:p w14:paraId="5328B81C" w14:textId="77777777" w:rsidR="00165979" w:rsidRPr="00025B97" w:rsidRDefault="00165979" w:rsidP="00165979">
      <w:pPr>
        <w:rPr>
          <w:b/>
          <w:bCs/>
          <w:color w:val="FF0000"/>
          <w:highlight w:val="lightGray"/>
        </w:rPr>
      </w:pPr>
    </w:p>
    <w:p w14:paraId="5C2BF039" w14:textId="77777777" w:rsidR="00165979" w:rsidRPr="00025B97" w:rsidRDefault="00165979" w:rsidP="00165979">
      <w:pPr>
        <w:rPr>
          <w:highlight w:val="lightGray"/>
        </w:rPr>
      </w:pPr>
      <w:r w:rsidRPr="00025B97">
        <w:rPr>
          <w:b/>
          <w:bCs/>
          <w:highlight w:val="lightGray"/>
        </w:rPr>
        <w:t>This process should be ran prior to payroll processing.</w:t>
      </w:r>
    </w:p>
    <w:p w14:paraId="1CABA3AF" w14:textId="77777777" w:rsidR="00165979" w:rsidRPr="00025B97" w:rsidRDefault="00165979" w:rsidP="00165979">
      <w:pPr>
        <w:rPr>
          <w:b/>
          <w:bCs/>
          <w:highlight w:val="lightGray"/>
        </w:rPr>
      </w:pPr>
    </w:p>
    <w:p w14:paraId="0B2FCB5F" w14:textId="56B7A3DA" w:rsidR="00165979" w:rsidRPr="006244CE" w:rsidRDefault="00165979" w:rsidP="00165979">
      <w:pPr>
        <w:rPr>
          <w:b/>
          <w:bCs/>
          <w:sz w:val="28"/>
          <w:szCs w:val="28"/>
        </w:rPr>
      </w:pPr>
      <w:r w:rsidRPr="006244CE">
        <w:rPr>
          <w:b/>
          <w:bCs/>
          <w:sz w:val="28"/>
          <w:szCs w:val="28"/>
        </w:rPr>
        <w:t xml:space="preserve">Running the </w:t>
      </w:r>
      <w:r w:rsidR="00054604">
        <w:rPr>
          <w:b/>
          <w:bCs/>
          <w:sz w:val="28"/>
          <w:szCs w:val="28"/>
        </w:rPr>
        <w:t xml:space="preserve">Savings </w:t>
      </w:r>
      <w:r w:rsidRPr="006244CE">
        <w:rPr>
          <w:b/>
          <w:bCs/>
          <w:sz w:val="28"/>
          <w:szCs w:val="28"/>
        </w:rPr>
        <w:t xml:space="preserve">Age </w:t>
      </w:r>
      <w:r w:rsidR="00054604">
        <w:rPr>
          <w:b/>
          <w:bCs/>
          <w:sz w:val="28"/>
          <w:szCs w:val="28"/>
        </w:rPr>
        <w:t xml:space="preserve">Catch Up </w:t>
      </w:r>
      <w:r w:rsidRPr="006244CE">
        <w:rPr>
          <w:b/>
          <w:bCs/>
          <w:sz w:val="28"/>
          <w:szCs w:val="28"/>
        </w:rPr>
        <w:t>Extension</w:t>
      </w:r>
    </w:p>
    <w:p w14:paraId="4399B967" w14:textId="77777777" w:rsidR="00165979" w:rsidRDefault="00165979" w:rsidP="00165979">
      <w:pPr>
        <w:rPr>
          <w:b/>
          <w:bCs/>
        </w:rPr>
      </w:pPr>
    </w:p>
    <w:p w14:paraId="7B6A7F9A" w14:textId="7FF93958" w:rsidR="00165979" w:rsidRPr="00165979" w:rsidRDefault="00C622B1" w:rsidP="00165979">
      <w:pPr>
        <w:rPr>
          <w:color w:val="4472C4" w:themeColor="accent1"/>
        </w:rPr>
      </w:pPr>
      <w:r>
        <w:rPr>
          <w:b/>
          <w:bCs/>
          <w:color w:val="4472C4" w:themeColor="accent1"/>
        </w:rPr>
        <w:t xml:space="preserve">NAV&gt;Workforce Administrator&gt;Benefits tile&gt; Extensions </w:t>
      </w:r>
      <w:r w:rsidRPr="00C622B1">
        <w:rPr>
          <w:b/>
          <w:bCs/>
        </w:rPr>
        <w:t xml:space="preserve">OR </w:t>
      </w:r>
      <w:r w:rsidR="00165979" w:rsidRPr="00165979">
        <w:rPr>
          <w:b/>
          <w:bCs/>
          <w:color w:val="4472C4" w:themeColor="accent1"/>
        </w:rPr>
        <w:t xml:space="preserve">Nav&gt;Benefits&gt;Monitor Savings </w:t>
      </w:r>
      <w:proofErr w:type="spellStart"/>
      <w:r w:rsidR="00165979" w:rsidRPr="00165979">
        <w:rPr>
          <w:b/>
          <w:bCs/>
          <w:color w:val="4472C4" w:themeColor="accent1"/>
        </w:rPr>
        <w:t>Pln</w:t>
      </w:r>
      <w:proofErr w:type="spellEnd"/>
      <w:r w:rsidR="00165979" w:rsidRPr="00165979">
        <w:rPr>
          <w:b/>
          <w:bCs/>
          <w:color w:val="4472C4" w:themeColor="accent1"/>
        </w:rPr>
        <w:t xml:space="preserve"> Extensions&gt;</w:t>
      </w:r>
      <w:r w:rsidR="00054604">
        <w:rPr>
          <w:b/>
          <w:bCs/>
          <w:color w:val="4472C4" w:themeColor="accent1"/>
        </w:rPr>
        <w:t>Savings age Catch up</w:t>
      </w:r>
      <w:r w:rsidR="00165979" w:rsidRPr="00165979">
        <w:rPr>
          <w:b/>
          <w:bCs/>
          <w:color w:val="4472C4" w:themeColor="accent1"/>
        </w:rPr>
        <w:t xml:space="preserve"> Extensions</w:t>
      </w:r>
    </w:p>
    <w:p w14:paraId="3FAE3952" w14:textId="77777777" w:rsidR="00165979" w:rsidRDefault="00165979" w:rsidP="00165979">
      <w:pPr>
        <w:ind w:left="720"/>
      </w:pPr>
    </w:p>
    <w:p w14:paraId="19D9DABB" w14:textId="2021BA2B" w:rsidR="00165979" w:rsidRPr="00165979" w:rsidRDefault="00165979" w:rsidP="00165979">
      <w:pPr>
        <w:numPr>
          <w:ilvl w:val="0"/>
          <w:numId w:val="24"/>
        </w:numPr>
      </w:pPr>
      <w:r w:rsidRPr="00165979">
        <w:t>The</w:t>
      </w:r>
      <w:r w:rsidR="00025B97">
        <w:t xml:space="preserve"> </w:t>
      </w:r>
      <w:r w:rsidR="00864E55">
        <w:rPr>
          <w:b/>
          <w:bCs/>
        </w:rPr>
        <w:t xml:space="preserve">Savings </w:t>
      </w:r>
      <w:r w:rsidRPr="00165979">
        <w:rPr>
          <w:b/>
          <w:bCs/>
        </w:rPr>
        <w:t>Age</w:t>
      </w:r>
      <w:r w:rsidR="00864E55">
        <w:rPr>
          <w:b/>
          <w:bCs/>
        </w:rPr>
        <w:t xml:space="preserve"> Catch Up </w:t>
      </w:r>
      <w:r w:rsidRPr="00165979">
        <w:rPr>
          <w:b/>
          <w:bCs/>
        </w:rPr>
        <w:t>Extension</w:t>
      </w:r>
      <w:r w:rsidR="00025B97">
        <w:rPr>
          <w:b/>
          <w:bCs/>
        </w:rPr>
        <w:t xml:space="preserve"> </w:t>
      </w:r>
      <w:r w:rsidRPr="00165979">
        <w:t>run control ID search page displays.</w:t>
      </w:r>
    </w:p>
    <w:p w14:paraId="55A8E68A" w14:textId="77777777" w:rsidR="00165979" w:rsidRPr="00165979" w:rsidRDefault="00165979" w:rsidP="00165979">
      <w:pPr>
        <w:numPr>
          <w:ilvl w:val="0"/>
          <w:numId w:val="24"/>
        </w:numPr>
      </w:pPr>
      <w:r w:rsidRPr="00165979">
        <w:t>Enter the</w:t>
      </w:r>
      <w:r w:rsidR="00025B97">
        <w:t xml:space="preserve"> </w:t>
      </w:r>
      <w:r w:rsidRPr="00165979">
        <w:rPr>
          <w:b/>
          <w:bCs/>
        </w:rPr>
        <w:t>Run Control ID</w:t>
      </w:r>
      <w:r w:rsidR="00025B97">
        <w:rPr>
          <w:b/>
          <w:bCs/>
        </w:rPr>
        <w:t xml:space="preserve"> </w:t>
      </w:r>
      <w:r w:rsidRPr="00165979">
        <w:t>or select</w:t>
      </w:r>
      <w:r w:rsidR="00025B97">
        <w:t xml:space="preserve"> </w:t>
      </w:r>
      <w:r w:rsidRPr="00165979">
        <w:rPr>
          <w:b/>
          <w:bCs/>
        </w:rPr>
        <w:t>Add a New Value</w:t>
      </w:r>
      <w:r w:rsidRPr="00165979">
        <w:t>.</w:t>
      </w:r>
    </w:p>
    <w:p w14:paraId="4BA11539" w14:textId="77777777" w:rsidR="00165979" w:rsidRDefault="00165979" w:rsidP="00165979">
      <w:pPr>
        <w:numPr>
          <w:ilvl w:val="0"/>
          <w:numId w:val="24"/>
        </w:numPr>
      </w:pPr>
      <w:r w:rsidRPr="00165979">
        <w:t>Select the</w:t>
      </w:r>
      <w:r w:rsidR="00025B97">
        <w:t xml:space="preserve"> </w:t>
      </w:r>
      <w:r w:rsidRPr="00165979">
        <w:rPr>
          <w:b/>
          <w:bCs/>
        </w:rPr>
        <w:t>Search</w:t>
      </w:r>
      <w:r w:rsidR="00025B97">
        <w:t xml:space="preserve"> </w:t>
      </w:r>
      <w:r w:rsidRPr="00165979">
        <w:t>button.</w:t>
      </w:r>
    </w:p>
    <w:p w14:paraId="7DB8046B" w14:textId="77777777" w:rsidR="00E02FE4" w:rsidRPr="00165979" w:rsidRDefault="00E02FE4" w:rsidP="00E02FE4">
      <w:pPr>
        <w:ind w:left="720"/>
      </w:pPr>
    </w:p>
    <w:p w14:paraId="178E7F79" w14:textId="77678BAA" w:rsidR="00165979" w:rsidRDefault="00864E55" w:rsidP="00165979">
      <w:r>
        <w:rPr>
          <w:noProof/>
        </w:rPr>
        <w:drawing>
          <wp:inline distT="0" distB="0" distL="0" distR="0" wp14:anchorId="5A65E0FB" wp14:editId="017C3E55">
            <wp:extent cx="4419983" cy="2316681"/>
            <wp:effectExtent l="0" t="0" r="0" b="7620"/>
            <wp:docPr id="662070657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70657" name="Picture 1" descr="A screenshot of a search box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231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D0F83" w14:textId="77777777" w:rsidR="00E02FE4" w:rsidRPr="00165979" w:rsidRDefault="00E02FE4" w:rsidP="00165979"/>
    <w:p w14:paraId="0008E42B" w14:textId="0E402077" w:rsidR="00165979" w:rsidRPr="00165979" w:rsidRDefault="00165979" w:rsidP="00165979">
      <w:pPr>
        <w:numPr>
          <w:ilvl w:val="0"/>
          <w:numId w:val="25"/>
        </w:numPr>
      </w:pPr>
      <w:r w:rsidRPr="00165979">
        <w:t>The</w:t>
      </w:r>
      <w:r w:rsidR="00E02FE4">
        <w:t xml:space="preserve"> </w:t>
      </w:r>
      <w:r w:rsidR="00864E55">
        <w:rPr>
          <w:b/>
          <w:bCs/>
        </w:rPr>
        <w:t>Savings Age Catch Up</w:t>
      </w:r>
      <w:r w:rsidRPr="00165979">
        <w:rPr>
          <w:b/>
          <w:bCs/>
        </w:rPr>
        <w:t xml:space="preserve"> Extension</w:t>
      </w:r>
      <w:r w:rsidR="009551F4">
        <w:rPr>
          <w:b/>
          <w:bCs/>
        </w:rPr>
        <w:t xml:space="preserve"> </w:t>
      </w:r>
      <w:r w:rsidRPr="00165979">
        <w:t>page displays.</w:t>
      </w:r>
    </w:p>
    <w:p w14:paraId="7025F559" w14:textId="77777777" w:rsidR="00165979" w:rsidRPr="00165979" w:rsidRDefault="00165979" w:rsidP="00165979">
      <w:pPr>
        <w:numPr>
          <w:ilvl w:val="0"/>
          <w:numId w:val="25"/>
        </w:numPr>
      </w:pPr>
      <w:r w:rsidRPr="00165979">
        <w:t>Enter the</w:t>
      </w:r>
      <w:r w:rsidR="00E02FE4">
        <w:t xml:space="preserve"> </w:t>
      </w:r>
      <w:r w:rsidRPr="00165979">
        <w:rPr>
          <w:b/>
          <w:bCs/>
        </w:rPr>
        <w:t>As of Date</w:t>
      </w:r>
      <w:r w:rsidR="00E02FE4">
        <w:rPr>
          <w:b/>
          <w:bCs/>
        </w:rPr>
        <w:t xml:space="preserve"> </w:t>
      </w:r>
      <w:r w:rsidRPr="00165979">
        <w:t>(pay period end date, i.e. the 15th/Last of the month, which is also the day the process should be run, ideally).</w:t>
      </w:r>
    </w:p>
    <w:p w14:paraId="7B424C38" w14:textId="77777777" w:rsidR="00165979" w:rsidRPr="00165979" w:rsidRDefault="00165979" w:rsidP="00165979">
      <w:pPr>
        <w:numPr>
          <w:ilvl w:val="0"/>
          <w:numId w:val="25"/>
        </w:numPr>
      </w:pPr>
      <w:r w:rsidRPr="00165979">
        <w:t>Enter the</w:t>
      </w:r>
      <w:r w:rsidR="00025A92">
        <w:t xml:space="preserve"> </w:t>
      </w:r>
      <w:r w:rsidRPr="00165979">
        <w:rPr>
          <w:b/>
          <w:bCs/>
        </w:rPr>
        <w:t>Company</w:t>
      </w:r>
      <w:r w:rsidR="00E02FE4">
        <w:t xml:space="preserve"> </w:t>
      </w:r>
      <w:r w:rsidRPr="00165979">
        <w:t>or select from the search icon.</w:t>
      </w:r>
    </w:p>
    <w:p w14:paraId="388C8F85" w14:textId="77777777" w:rsidR="00864E55" w:rsidRPr="00864E55" w:rsidRDefault="00864E55" w:rsidP="00864E55">
      <w:pPr>
        <w:numPr>
          <w:ilvl w:val="0"/>
          <w:numId w:val="25"/>
        </w:numPr>
      </w:pPr>
      <w:r w:rsidRPr="00864E55">
        <w:t xml:space="preserve">Enter the </w:t>
      </w:r>
      <w:r w:rsidRPr="00864E55">
        <w:rPr>
          <w:b/>
          <w:bCs/>
        </w:rPr>
        <w:t>Empl</w:t>
      </w:r>
      <w:r w:rsidRPr="00864E55">
        <w:t xml:space="preserve"> </w:t>
      </w:r>
      <w:r w:rsidRPr="00864E55">
        <w:rPr>
          <w:b/>
          <w:bCs/>
        </w:rPr>
        <w:t>ID</w:t>
      </w:r>
      <w:r w:rsidRPr="00864E55">
        <w:t xml:space="preserve"> if needed.</w:t>
      </w:r>
    </w:p>
    <w:p w14:paraId="2CBDEBB1" w14:textId="77777777" w:rsidR="00864E55" w:rsidRPr="00864E55" w:rsidRDefault="00864E55" w:rsidP="00864E55">
      <w:pPr>
        <w:numPr>
          <w:ilvl w:val="0"/>
          <w:numId w:val="25"/>
        </w:numPr>
      </w:pPr>
      <w:r w:rsidRPr="00864E55">
        <w:t xml:space="preserve">Within the </w:t>
      </w:r>
      <w:r w:rsidRPr="00864E55">
        <w:rPr>
          <w:b/>
          <w:bCs/>
        </w:rPr>
        <w:t>Limit Type Extension</w:t>
      </w:r>
      <w:r w:rsidRPr="00864E55">
        <w:t xml:space="preserve">, select the following two </w:t>
      </w:r>
      <w:r w:rsidRPr="00864E55">
        <w:rPr>
          <w:b/>
          <w:bCs/>
        </w:rPr>
        <w:t>Limit Types</w:t>
      </w:r>
      <w:r w:rsidRPr="00864E55">
        <w:t>: 402(g) Limit and 457 Limit.</w:t>
      </w:r>
    </w:p>
    <w:p w14:paraId="0D07BCE5" w14:textId="77777777" w:rsidR="00864E55" w:rsidRPr="00864E55" w:rsidRDefault="00864E55" w:rsidP="00864E55">
      <w:pPr>
        <w:ind w:left="720"/>
      </w:pPr>
      <w:r w:rsidRPr="00864E55">
        <w:t xml:space="preserve">- Add the first limit type by using the drop-down menu and selecting </w:t>
      </w:r>
      <w:r w:rsidRPr="00864E55">
        <w:rPr>
          <w:b/>
          <w:bCs/>
        </w:rPr>
        <w:t>402(g) Limit</w:t>
      </w:r>
      <w:r w:rsidRPr="00864E55">
        <w:t>.</w:t>
      </w:r>
    </w:p>
    <w:p w14:paraId="7CE65DA0" w14:textId="77777777" w:rsidR="00864E55" w:rsidRPr="00864E55" w:rsidRDefault="00864E55" w:rsidP="00864E55">
      <w:pPr>
        <w:ind w:left="720"/>
      </w:pPr>
      <w:r w:rsidRPr="00864E55">
        <w:t xml:space="preserve">- Add a New Row by selecting the </w:t>
      </w:r>
      <w:r w:rsidRPr="00864E55">
        <w:rPr>
          <w:b/>
          <w:bCs/>
        </w:rPr>
        <w:t xml:space="preserve">[+] </w:t>
      </w:r>
      <w:r w:rsidRPr="00864E55">
        <w:t>icon.</w:t>
      </w:r>
    </w:p>
    <w:p w14:paraId="2CA2CB6C" w14:textId="77777777" w:rsidR="00864E55" w:rsidRPr="00864E55" w:rsidRDefault="00864E55" w:rsidP="00864E55">
      <w:pPr>
        <w:ind w:left="720"/>
      </w:pPr>
      <w:r w:rsidRPr="00864E55">
        <w:t xml:space="preserve">- In the new row, again click the drop-down menu and select </w:t>
      </w:r>
      <w:r w:rsidRPr="00864E55">
        <w:rPr>
          <w:b/>
          <w:bCs/>
        </w:rPr>
        <w:t>457 Limit</w:t>
      </w:r>
      <w:r w:rsidRPr="00864E55">
        <w:t>.</w:t>
      </w:r>
    </w:p>
    <w:p w14:paraId="7C62B14B" w14:textId="77777777" w:rsidR="00864E55" w:rsidRPr="00864E55" w:rsidRDefault="00864E55" w:rsidP="00864E55">
      <w:pPr>
        <w:numPr>
          <w:ilvl w:val="0"/>
          <w:numId w:val="25"/>
        </w:numPr>
      </w:pPr>
      <w:r w:rsidRPr="00864E55">
        <w:t xml:space="preserve">Select the </w:t>
      </w:r>
      <w:r w:rsidRPr="00864E55">
        <w:rPr>
          <w:b/>
          <w:bCs/>
        </w:rPr>
        <w:t>Run</w:t>
      </w:r>
      <w:r w:rsidRPr="00864E55">
        <w:t xml:space="preserve"> button.</w:t>
      </w:r>
    </w:p>
    <w:p w14:paraId="62A874DA" w14:textId="77777777" w:rsidR="00864E55" w:rsidRDefault="00864E55" w:rsidP="00864E55">
      <w:pPr>
        <w:ind w:left="720"/>
      </w:pPr>
    </w:p>
    <w:p w14:paraId="713879E3" w14:textId="38CB19C5" w:rsidR="00864E55" w:rsidRPr="008B1069" w:rsidRDefault="00864E55" w:rsidP="00864E55">
      <w:pPr>
        <w:ind w:left="720"/>
        <w:rPr>
          <w:i/>
          <w:iCs/>
        </w:rPr>
      </w:pPr>
      <w:r w:rsidRPr="008B1069">
        <w:rPr>
          <w:i/>
          <w:iCs/>
        </w:rPr>
        <w:t>By selecting Run, the system automatically saves your Run Control and Report Request Parameters.</w:t>
      </w:r>
    </w:p>
    <w:p w14:paraId="1EA8EC2F" w14:textId="77777777" w:rsidR="00864E55" w:rsidRPr="008B1069" w:rsidRDefault="00864E55" w:rsidP="00864E55">
      <w:pPr>
        <w:ind w:left="720"/>
        <w:rPr>
          <w:i/>
          <w:iCs/>
        </w:rPr>
      </w:pPr>
      <w:r w:rsidRPr="008B1069">
        <w:rPr>
          <w:i/>
          <w:iCs/>
        </w:rPr>
        <w:t xml:space="preserve">However, if you are not able to run the process now, you can select the </w:t>
      </w:r>
      <w:r w:rsidRPr="008B1069">
        <w:rPr>
          <w:b/>
          <w:bCs/>
          <w:i/>
          <w:iCs/>
        </w:rPr>
        <w:t>Save</w:t>
      </w:r>
      <w:r w:rsidRPr="008B1069">
        <w:rPr>
          <w:i/>
          <w:iCs/>
        </w:rPr>
        <w:t xml:space="preserve"> button to capture the information entered so far. When it is time to run the process, use the </w:t>
      </w:r>
      <w:r w:rsidRPr="008B1069">
        <w:rPr>
          <w:b/>
          <w:bCs/>
          <w:i/>
          <w:iCs/>
        </w:rPr>
        <w:t>Find an Existing Value</w:t>
      </w:r>
      <w:r w:rsidRPr="008B1069">
        <w:rPr>
          <w:i/>
          <w:iCs/>
        </w:rPr>
        <w:t xml:space="preserve"> in the search page.</w:t>
      </w:r>
    </w:p>
    <w:p w14:paraId="7562A668" w14:textId="77777777" w:rsidR="00E02FE4" w:rsidRPr="00165979" w:rsidRDefault="00E02FE4" w:rsidP="00E02FE4">
      <w:pPr>
        <w:ind w:left="720"/>
      </w:pPr>
    </w:p>
    <w:p w14:paraId="6496EB06" w14:textId="77777777" w:rsidR="00165979" w:rsidRPr="00165979" w:rsidRDefault="00165979" w:rsidP="00165979">
      <w:r w:rsidRPr="00165979">
        <w:rPr>
          <w:b/>
          <w:bCs/>
        </w:rPr>
        <w:lastRenderedPageBreak/>
        <w:t xml:space="preserve">NOTE: </w:t>
      </w:r>
      <w:r w:rsidRPr="00165979">
        <w:t>You can run this on individual employees if needed but typically you will run it for the entire company.</w:t>
      </w:r>
    </w:p>
    <w:p w14:paraId="0CC34024" w14:textId="21C464BD" w:rsidR="00165979" w:rsidRDefault="008B1069" w:rsidP="00165979">
      <w:r>
        <w:rPr>
          <w:noProof/>
        </w:rPr>
        <w:drawing>
          <wp:inline distT="0" distB="0" distL="0" distR="0" wp14:anchorId="06595C16" wp14:editId="117A3C6A">
            <wp:extent cx="6858000" cy="4531995"/>
            <wp:effectExtent l="0" t="0" r="0" b="1905"/>
            <wp:docPr id="104421491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14917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53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18294" w14:textId="77777777" w:rsidR="00DA53DD" w:rsidRDefault="00DA53DD" w:rsidP="00DA53DD">
      <w:pPr>
        <w:pStyle w:val="ListParagraph"/>
        <w:numPr>
          <w:ilvl w:val="0"/>
          <w:numId w:val="25"/>
        </w:numPr>
      </w:pPr>
      <w:r>
        <w:t xml:space="preserve">Select </w:t>
      </w:r>
      <w:r w:rsidRPr="00DA53DD">
        <w:rPr>
          <w:b/>
          <w:bCs/>
        </w:rPr>
        <w:t>OK</w:t>
      </w:r>
      <w:r>
        <w:t xml:space="preserve"> at the following Message:</w:t>
      </w:r>
      <w:r w:rsidRPr="008B1069">
        <w:rPr>
          <w:noProof/>
        </w:rPr>
        <w:t xml:space="preserve"> </w:t>
      </w:r>
    </w:p>
    <w:p w14:paraId="1EA70EBC" w14:textId="22BD9608" w:rsidR="00DA53DD" w:rsidRDefault="00DA53DD" w:rsidP="00DA53DD">
      <w:pPr>
        <w:pStyle w:val="ListParagraph"/>
      </w:pPr>
      <w:r>
        <w:rPr>
          <w:noProof/>
        </w:rPr>
        <w:drawing>
          <wp:inline distT="0" distB="0" distL="0" distR="0" wp14:anchorId="09ED08CF" wp14:editId="65779DC0">
            <wp:extent cx="4465707" cy="1173582"/>
            <wp:effectExtent l="0" t="0" r="0" b="7620"/>
            <wp:docPr id="102867889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78892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65707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05B54" w14:textId="77777777" w:rsidR="00025A92" w:rsidRPr="00DA53DD" w:rsidRDefault="00025A92" w:rsidP="00165979"/>
    <w:p w14:paraId="74FE1E66" w14:textId="3380C433" w:rsidR="00DA53DD" w:rsidRPr="00DA53DD" w:rsidRDefault="00DA53DD" w:rsidP="00DA53DD">
      <w:pPr>
        <w:pStyle w:val="NormalWeb"/>
        <w:shd w:val="clear" w:color="auto" w:fill="FDECEC"/>
        <w:spacing w:after="180"/>
        <w:rPr>
          <w:color w:val="970C0C"/>
        </w:rPr>
      </w:pPr>
      <w:r w:rsidRPr="00DA53DD">
        <w:rPr>
          <w:rStyle w:val="Strong"/>
          <w:color w:val="970C0C"/>
        </w:rPr>
        <w:t>NOTE:</w:t>
      </w:r>
      <w:r w:rsidRPr="00DA53DD">
        <w:rPr>
          <w:rStyle w:val="Strong"/>
          <w:color w:val="970C0C"/>
        </w:rPr>
        <w:t xml:space="preserve"> </w:t>
      </w:r>
      <w:r w:rsidRPr="00DA53DD">
        <w:rPr>
          <w:color w:val="970C0C"/>
        </w:rPr>
        <w:t>The</w:t>
      </w:r>
      <w:r w:rsidRPr="00DA53DD">
        <w:rPr>
          <w:rStyle w:val="Strong"/>
          <w:color w:val="970C0C"/>
        </w:rPr>
        <w:t xml:space="preserve"> </w:t>
      </w:r>
      <w:r w:rsidRPr="00DA53DD">
        <w:rPr>
          <w:rStyle w:val="Strong"/>
          <w:color w:val="970C0C"/>
        </w:rPr>
        <w:t>Annual Cap Expansion</w:t>
      </w:r>
      <w:r w:rsidRPr="00DA53DD">
        <w:rPr>
          <w:color w:val="970C0C"/>
        </w:rPr>
        <w:t xml:space="preserve"> </w:t>
      </w:r>
      <w:r w:rsidRPr="00DA53DD">
        <w:rPr>
          <w:color w:val="970C0C"/>
        </w:rPr>
        <w:t>amounts are now accessed and applied directly from the Limit Table which is maintained by SBCTC Central Payroll.</w:t>
      </w:r>
    </w:p>
    <w:p w14:paraId="53E119E7" w14:textId="77777777" w:rsidR="00DA53DD" w:rsidRPr="00DA53DD" w:rsidRDefault="00DA53DD" w:rsidP="00DA53DD">
      <w:pPr>
        <w:pStyle w:val="NormalWeb"/>
        <w:shd w:val="clear" w:color="auto" w:fill="FDECEC"/>
        <w:spacing w:before="180" w:after="180"/>
        <w:rPr>
          <w:color w:val="970C0C"/>
        </w:rPr>
      </w:pPr>
      <w:r w:rsidRPr="00DA53DD">
        <w:rPr>
          <w:color w:val="970C0C"/>
        </w:rPr>
        <w:t>For more information about the Annual Cap Expansion amounts, please refer to the IRS Retirement Plans &gt; Topic Index &gt; Retirement Topics 403(b) Contribution Limits for catch-up contribution limits based on the year!</w:t>
      </w:r>
    </w:p>
    <w:p w14:paraId="7DAB8DA7" w14:textId="77777777" w:rsidR="00DA53DD" w:rsidRPr="00DA53DD" w:rsidRDefault="00DA53DD" w:rsidP="00DA53DD">
      <w:pPr>
        <w:pStyle w:val="NormalWeb"/>
        <w:shd w:val="clear" w:color="auto" w:fill="FDECEC"/>
        <w:spacing w:before="180" w:after="180"/>
        <w:rPr>
          <w:color w:val="970C0C"/>
        </w:rPr>
      </w:pPr>
      <w:hyperlink r:id="rId10" w:history="1">
        <w:r w:rsidRPr="00DA53DD">
          <w:rPr>
            <w:rStyle w:val="Hyperlink"/>
            <w:color w:val="155596"/>
          </w:rPr>
          <w:t>https://www.irs.gov/retirement-plans/plan-participant-employee/retirement-topics-403b-contribution-limits</w:t>
        </w:r>
      </w:hyperlink>
    </w:p>
    <w:p w14:paraId="39663E99" w14:textId="77777777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The Process Scheduler Request page displays.</w:t>
      </w:r>
    </w:p>
    <w:p w14:paraId="227C4209" w14:textId="486D8078" w:rsid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Select the</w:t>
      </w:r>
      <w:r w:rsidRPr="00DA53DD">
        <w:t xml:space="preserve"> </w:t>
      </w:r>
      <w:r w:rsidRPr="00DA53DD">
        <w:rPr>
          <w:rStyle w:val="Strong"/>
        </w:rPr>
        <w:t>OK</w:t>
      </w:r>
      <w:r w:rsidRPr="00DA53DD">
        <w:t xml:space="preserve"> </w:t>
      </w:r>
      <w:r w:rsidRPr="00DA53DD">
        <w:t>button.</w:t>
      </w:r>
    </w:p>
    <w:p w14:paraId="13FE0D91" w14:textId="308A6608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The</w:t>
      </w:r>
      <w:r w:rsidRPr="00DA53DD">
        <w:t xml:space="preserve"> </w:t>
      </w:r>
      <w:r w:rsidRPr="00DA53DD">
        <w:rPr>
          <w:rStyle w:val="Strong"/>
        </w:rPr>
        <w:t>Savings Age Catch Up Extension</w:t>
      </w:r>
      <w:r w:rsidRPr="00DA53DD">
        <w:t xml:space="preserve"> </w:t>
      </w:r>
      <w:r w:rsidRPr="00DA53DD">
        <w:t>page displays.</w:t>
      </w:r>
    </w:p>
    <w:p w14:paraId="09CB7FE5" w14:textId="6A5C38AF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Select the</w:t>
      </w:r>
      <w:r w:rsidRPr="00DA53DD">
        <w:t xml:space="preserve"> </w:t>
      </w:r>
      <w:r w:rsidRPr="00DA53DD">
        <w:rPr>
          <w:rStyle w:val="Strong"/>
        </w:rPr>
        <w:t>Process Monitor</w:t>
      </w:r>
      <w:r w:rsidRPr="00DA53DD">
        <w:t xml:space="preserve"> </w:t>
      </w:r>
      <w:r w:rsidRPr="00DA53DD">
        <w:t>link.</w:t>
      </w:r>
    </w:p>
    <w:p w14:paraId="5EF617C8" w14:textId="77777777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The Process Monitor page displays.</w:t>
      </w:r>
    </w:p>
    <w:p w14:paraId="21FB3836" w14:textId="6E51989C" w:rsidR="00DA53DD" w:rsidRPr="00DA53DD" w:rsidRDefault="00DA53DD" w:rsidP="00DA53DD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</w:pPr>
      <w:r w:rsidRPr="00DA53DD">
        <w:t>From the</w:t>
      </w:r>
      <w:r w:rsidRPr="00DA53DD">
        <w:t xml:space="preserve"> </w:t>
      </w:r>
      <w:r w:rsidRPr="00DA53DD">
        <w:rPr>
          <w:rStyle w:val="Strong"/>
        </w:rPr>
        <w:t>Process List</w:t>
      </w:r>
      <w:r w:rsidRPr="00DA53DD">
        <w:t xml:space="preserve"> </w:t>
      </w:r>
      <w:r w:rsidRPr="00DA53DD">
        <w:t>tab, select the</w:t>
      </w:r>
      <w:r w:rsidRPr="00DA53DD">
        <w:t xml:space="preserve"> </w:t>
      </w:r>
      <w:r w:rsidRPr="00DA53DD">
        <w:rPr>
          <w:rStyle w:val="Strong"/>
        </w:rPr>
        <w:t>Refresh</w:t>
      </w:r>
      <w:r w:rsidRPr="00DA53DD">
        <w:t xml:space="preserve"> </w:t>
      </w:r>
      <w:r w:rsidRPr="00DA53DD">
        <w:t>button until the</w:t>
      </w:r>
      <w:r w:rsidRPr="00DA53DD">
        <w:t xml:space="preserve"> </w:t>
      </w:r>
      <w:r w:rsidRPr="00DA53DD">
        <w:rPr>
          <w:rStyle w:val="Emphasis"/>
        </w:rPr>
        <w:t>Run Status</w:t>
      </w:r>
      <w:r w:rsidRPr="00DA53DD">
        <w:t xml:space="preserve"> </w:t>
      </w:r>
      <w:r w:rsidRPr="00DA53DD">
        <w:t>=</w:t>
      </w:r>
      <w:r w:rsidRPr="00DA53DD">
        <w:t xml:space="preserve"> </w:t>
      </w:r>
      <w:r w:rsidRPr="00DA53DD">
        <w:rPr>
          <w:rStyle w:val="Strong"/>
        </w:rPr>
        <w:t>Success</w:t>
      </w:r>
      <w:r w:rsidRPr="00DA53DD">
        <w:t xml:space="preserve"> </w:t>
      </w:r>
      <w:r w:rsidRPr="00DA53DD">
        <w:t>and</w:t>
      </w:r>
      <w:r w:rsidRPr="00DA53DD">
        <w:t xml:space="preserve"> </w:t>
      </w:r>
      <w:r w:rsidRPr="00DA53DD">
        <w:rPr>
          <w:rStyle w:val="Emphasis"/>
        </w:rPr>
        <w:t>Distribution Status</w:t>
      </w:r>
      <w:r w:rsidRPr="00DA53DD">
        <w:t xml:space="preserve"> </w:t>
      </w:r>
      <w:r w:rsidRPr="00DA53DD">
        <w:t>=</w:t>
      </w:r>
      <w:r w:rsidRPr="00DA53DD">
        <w:t xml:space="preserve"> </w:t>
      </w:r>
      <w:r w:rsidRPr="00DA53DD">
        <w:rPr>
          <w:rStyle w:val="Strong"/>
        </w:rPr>
        <w:t>Posted</w:t>
      </w:r>
      <w:r w:rsidRPr="00DA53DD">
        <w:t>.</w:t>
      </w:r>
    </w:p>
    <w:p w14:paraId="5EE8004B" w14:textId="1B0E5B05" w:rsidR="00165979" w:rsidRDefault="00E83A6A" w:rsidP="00165979">
      <w:r>
        <w:rPr>
          <w:noProof/>
        </w:rPr>
        <w:lastRenderedPageBreak/>
        <w:drawing>
          <wp:inline distT="0" distB="0" distL="0" distR="0" wp14:anchorId="10C68944" wp14:editId="4947FECE">
            <wp:extent cx="6858000" cy="2479675"/>
            <wp:effectExtent l="0" t="0" r="0" b="0"/>
            <wp:docPr id="120186217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86217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014D7" w14:textId="77777777" w:rsidR="006244CE" w:rsidRPr="00165979" w:rsidRDefault="006244CE" w:rsidP="00165979"/>
    <w:p w14:paraId="520C3C8B" w14:textId="6F6D1AD7" w:rsidR="00165979" w:rsidRPr="00165979" w:rsidRDefault="00165979" w:rsidP="00165979">
      <w:pPr>
        <w:numPr>
          <w:ilvl w:val="0"/>
          <w:numId w:val="27"/>
        </w:numPr>
      </w:pPr>
      <w:r w:rsidRPr="00165979">
        <w:t xml:space="preserve">The process to run the </w:t>
      </w:r>
      <w:r w:rsidR="009A7D91" w:rsidRPr="009A7D91">
        <w:rPr>
          <w:b/>
          <w:bCs/>
        </w:rPr>
        <w:t xml:space="preserve">Savings Age Catch Up </w:t>
      </w:r>
      <w:r w:rsidRPr="009A7D91">
        <w:rPr>
          <w:b/>
          <w:bCs/>
        </w:rPr>
        <w:t>Extension</w:t>
      </w:r>
      <w:r w:rsidRPr="00165979">
        <w:t xml:space="preserve"> is now complete.</w:t>
      </w:r>
    </w:p>
    <w:p w14:paraId="3A7B826E" w14:textId="77777777" w:rsidR="006244CE" w:rsidRDefault="006244CE" w:rsidP="006244CE"/>
    <w:p w14:paraId="333DA52E" w14:textId="11D9B7BD" w:rsidR="00E21107" w:rsidRDefault="00E21107" w:rsidP="006244CE">
      <w:r w:rsidRPr="002A749A">
        <w:rPr>
          <w:b/>
        </w:rPr>
        <w:t xml:space="preserve">If you forget to run this process and someone reaches the under 50 </w:t>
      </w:r>
      <w:proofErr w:type="gramStart"/>
      <w:r w:rsidRPr="002A749A">
        <w:rPr>
          <w:b/>
        </w:rPr>
        <w:t>limit</w:t>
      </w:r>
      <w:proofErr w:type="gramEnd"/>
      <w:r>
        <w:t xml:space="preserve">, you HAVE TO go to </w:t>
      </w:r>
      <w:r w:rsidRPr="002249E1">
        <w:rPr>
          <w:color w:val="4472C4" w:themeColor="accent1"/>
        </w:rPr>
        <w:t>Nav&gt;Benefits</w:t>
      </w:r>
      <w:r w:rsidR="00EF788B">
        <w:rPr>
          <w:color w:val="4472C4" w:themeColor="accent1"/>
        </w:rPr>
        <w:t xml:space="preserve"> tile</w:t>
      </w:r>
      <w:r w:rsidRPr="002249E1">
        <w:rPr>
          <w:color w:val="4472C4" w:themeColor="accent1"/>
        </w:rPr>
        <w:t>&gt;</w:t>
      </w:r>
      <w:r w:rsidR="00EF788B">
        <w:rPr>
          <w:color w:val="4472C4" w:themeColor="accent1"/>
        </w:rPr>
        <w:t xml:space="preserve">Benefit </w:t>
      </w:r>
      <w:r w:rsidRPr="002249E1">
        <w:rPr>
          <w:color w:val="4472C4" w:themeColor="accent1"/>
        </w:rPr>
        <w:t xml:space="preserve">Savings Management </w:t>
      </w:r>
      <w:r>
        <w:t>and manually add the extra deferral amount allowed (</w:t>
      </w:r>
      <w:r w:rsidRPr="006218F1">
        <w:rPr>
          <w:color w:val="FF0000"/>
        </w:rPr>
        <w:t>for 202</w:t>
      </w:r>
      <w:r w:rsidR="00EF788B">
        <w:rPr>
          <w:color w:val="FF0000"/>
        </w:rPr>
        <w:t>4</w:t>
      </w:r>
      <w:r w:rsidRPr="006218F1">
        <w:rPr>
          <w:color w:val="FF0000"/>
        </w:rPr>
        <w:t xml:space="preserve"> it’s $</w:t>
      </w:r>
      <w:r w:rsidR="00EF788B">
        <w:rPr>
          <w:color w:val="FF0000"/>
        </w:rPr>
        <w:t>7</w:t>
      </w:r>
      <w:r w:rsidRPr="006218F1">
        <w:rPr>
          <w:color w:val="FF0000"/>
        </w:rPr>
        <w:t>500</w:t>
      </w:r>
      <w:r>
        <w:t xml:space="preserve">). </w:t>
      </w:r>
      <w:r w:rsidR="002A749A">
        <w:t xml:space="preserve">Add the Adjustment Amount and Save. </w:t>
      </w:r>
      <w:r>
        <w:t>S</w:t>
      </w:r>
      <w:r w:rsidR="002A749A">
        <w:t>e</w:t>
      </w:r>
      <w:r>
        <w:t>e below for an example:</w:t>
      </w:r>
    </w:p>
    <w:p w14:paraId="5EF6A4C2" w14:textId="77777777" w:rsidR="00E21107" w:rsidRDefault="00E21107" w:rsidP="006244CE"/>
    <w:p w14:paraId="371B9885" w14:textId="3E1D4EBB" w:rsidR="00E21107" w:rsidRDefault="00DD502A" w:rsidP="006244CE">
      <w:r>
        <w:rPr>
          <w:noProof/>
        </w:rPr>
        <w:drawing>
          <wp:inline distT="0" distB="0" distL="0" distR="0" wp14:anchorId="05622B23" wp14:editId="73DFE63C">
            <wp:extent cx="6370320" cy="5155240"/>
            <wp:effectExtent l="0" t="0" r="0" b="7620"/>
            <wp:docPr id="108354402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44024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5911" cy="515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6EB53" w14:textId="77777777" w:rsidR="002A749A" w:rsidRDefault="002A749A" w:rsidP="006244CE"/>
    <w:p w14:paraId="5C6EB427" w14:textId="77777777" w:rsidR="00025A92" w:rsidRDefault="00025A92" w:rsidP="006244CE">
      <w:r>
        <w:t xml:space="preserve">That’s it!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25A92" w:rsidSect="00DE2C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D1D5D" w14:textId="77777777" w:rsidR="00DF7AE7" w:rsidRDefault="00DF7AE7" w:rsidP="00DF7AE7">
      <w:r>
        <w:separator/>
      </w:r>
    </w:p>
  </w:endnote>
  <w:endnote w:type="continuationSeparator" w:id="0">
    <w:p w14:paraId="7C51FC55" w14:textId="77777777" w:rsidR="00DF7AE7" w:rsidRDefault="00DF7AE7" w:rsidP="00DF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6AD9E" w14:textId="77777777" w:rsidR="00DF7AE7" w:rsidRDefault="00DF7AE7" w:rsidP="00DF7AE7">
      <w:r>
        <w:separator/>
      </w:r>
    </w:p>
  </w:footnote>
  <w:footnote w:type="continuationSeparator" w:id="0">
    <w:p w14:paraId="48F99373" w14:textId="77777777" w:rsidR="00DF7AE7" w:rsidRDefault="00DF7AE7" w:rsidP="00DF7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D175BF"/>
    <w:multiLevelType w:val="multilevel"/>
    <w:tmpl w:val="08284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C24349"/>
    <w:multiLevelType w:val="multilevel"/>
    <w:tmpl w:val="C4D0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A60005"/>
    <w:multiLevelType w:val="multilevel"/>
    <w:tmpl w:val="C4D0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447F5"/>
    <w:multiLevelType w:val="multilevel"/>
    <w:tmpl w:val="7D1CF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F5637"/>
    <w:multiLevelType w:val="multilevel"/>
    <w:tmpl w:val="82DA8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B0E6B11"/>
    <w:multiLevelType w:val="multilevel"/>
    <w:tmpl w:val="B91018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31B5074"/>
    <w:multiLevelType w:val="multilevel"/>
    <w:tmpl w:val="5E3E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1486377">
    <w:abstractNumId w:val="12"/>
  </w:num>
  <w:num w:numId="2" w16cid:durableId="1740251322">
    <w:abstractNumId w:val="0"/>
  </w:num>
  <w:num w:numId="3" w16cid:durableId="232276736">
    <w:abstractNumId w:val="2"/>
  </w:num>
  <w:num w:numId="4" w16cid:durableId="2052922485">
    <w:abstractNumId w:val="9"/>
  </w:num>
  <w:num w:numId="5" w16cid:durableId="1499728318">
    <w:abstractNumId w:val="5"/>
  </w:num>
  <w:num w:numId="6" w16cid:durableId="311259403">
    <w:abstractNumId w:val="11"/>
  </w:num>
  <w:num w:numId="7" w16cid:durableId="2077513216">
    <w:abstractNumId w:val="6"/>
  </w:num>
  <w:num w:numId="8" w16cid:durableId="1706248148">
    <w:abstractNumId w:val="1"/>
  </w:num>
  <w:num w:numId="9" w16cid:durableId="18747284">
    <w:abstractNumId w:val="13"/>
  </w:num>
  <w:num w:numId="10" w16cid:durableId="268853776">
    <w:abstractNumId w:val="13"/>
  </w:num>
  <w:num w:numId="11" w16cid:durableId="819733682">
    <w:abstractNumId w:val="13"/>
  </w:num>
  <w:num w:numId="12" w16cid:durableId="2122995819">
    <w:abstractNumId w:val="6"/>
  </w:num>
  <w:num w:numId="13" w16cid:durableId="2013986875">
    <w:abstractNumId w:val="1"/>
  </w:num>
  <w:num w:numId="14" w16cid:durableId="1771706543">
    <w:abstractNumId w:val="13"/>
  </w:num>
  <w:num w:numId="15" w16cid:durableId="844133454">
    <w:abstractNumId w:val="13"/>
  </w:num>
  <w:num w:numId="16" w16cid:durableId="934242970">
    <w:abstractNumId w:val="13"/>
  </w:num>
  <w:num w:numId="17" w16cid:durableId="1604411571">
    <w:abstractNumId w:val="15"/>
  </w:num>
  <w:num w:numId="18" w16cid:durableId="387412756">
    <w:abstractNumId w:val="6"/>
  </w:num>
  <w:num w:numId="19" w16cid:durableId="261836267">
    <w:abstractNumId w:val="1"/>
  </w:num>
  <w:num w:numId="20" w16cid:durableId="2100448410">
    <w:abstractNumId w:val="15"/>
  </w:num>
  <w:num w:numId="21" w16cid:durableId="1522624494">
    <w:abstractNumId w:val="6"/>
  </w:num>
  <w:num w:numId="22" w16cid:durableId="626737426">
    <w:abstractNumId w:val="6"/>
  </w:num>
  <w:num w:numId="23" w16cid:durableId="1499420097">
    <w:abstractNumId w:val="1"/>
  </w:num>
  <w:num w:numId="24" w16cid:durableId="29229671">
    <w:abstractNumId w:val="10"/>
  </w:num>
  <w:num w:numId="25" w16cid:durableId="893274037">
    <w:abstractNumId w:val="7"/>
    <w:lvlOverride w:ilvl="0">
      <w:startOverride w:val="4"/>
    </w:lvlOverride>
  </w:num>
  <w:num w:numId="26" w16cid:durableId="148253427">
    <w:abstractNumId w:val="8"/>
    <w:lvlOverride w:ilvl="0">
      <w:startOverride w:val="10"/>
    </w:lvlOverride>
  </w:num>
  <w:num w:numId="27" w16cid:durableId="1845631109">
    <w:abstractNumId w:val="3"/>
    <w:lvlOverride w:ilvl="0">
      <w:startOverride w:val="17"/>
    </w:lvlOverride>
  </w:num>
  <w:num w:numId="28" w16cid:durableId="1044789625">
    <w:abstractNumId w:val="16"/>
    <w:lvlOverride w:ilvl="0">
      <w:startOverride w:val="11"/>
    </w:lvlOverride>
  </w:num>
  <w:num w:numId="29" w16cid:durableId="969825201">
    <w:abstractNumId w:val="14"/>
  </w:num>
  <w:num w:numId="30" w16cid:durableId="449781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E7"/>
    <w:rsid w:val="00006022"/>
    <w:rsid w:val="00025A92"/>
    <w:rsid w:val="00025B97"/>
    <w:rsid w:val="00026CF1"/>
    <w:rsid w:val="00054604"/>
    <w:rsid w:val="00093DDE"/>
    <w:rsid w:val="000F1462"/>
    <w:rsid w:val="00100E47"/>
    <w:rsid w:val="00142AC8"/>
    <w:rsid w:val="00165979"/>
    <w:rsid w:val="001754BA"/>
    <w:rsid w:val="001E4FFA"/>
    <w:rsid w:val="001F0D74"/>
    <w:rsid w:val="002249E1"/>
    <w:rsid w:val="002435A1"/>
    <w:rsid w:val="002478CC"/>
    <w:rsid w:val="00252ACF"/>
    <w:rsid w:val="002662A9"/>
    <w:rsid w:val="002A749A"/>
    <w:rsid w:val="00305450"/>
    <w:rsid w:val="00324DB0"/>
    <w:rsid w:val="0035054D"/>
    <w:rsid w:val="0039046B"/>
    <w:rsid w:val="003B4FCD"/>
    <w:rsid w:val="003D1B55"/>
    <w:rsid w:val="003D684B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B6580"/>
    <w:rsid w:val="005C1212"/>
    <w:rsid w:val="006218F1"/>
    <w:rsid w:val="006244CE"/>
    <w:rsid w:val="006314AC"/>
    <w:rsid w:val="006652B1"/>
    <w:rsid w:val="006A09D5"/>
    <w:rsid w:val="007B6A79"/>
    <w:rsid w:val="00862A9A"/>
    <w:rsid w:val="00864E55"/>
    <w:rsid w:val="008B1069"/>
    <w:rsid w:val="008D3316"/>
    <w:rsid w:val="00916A0F"/>
    <w:rsid w:val="009551F4"/>
    <w:rsid w:val="009A7D91"/>
    <w:rsid w:val="00A3337D"/>
    <w:rsid w:val="00A63F14"/>
    <w:rsid w:val="00AD1273"/>
    <w:rsid w:val="00AF42BA"/>
    <w:rsid w:val="00B374E7"/>
    <w:rsid w:val="00B5033D"/>
    <w:rsid w:val="00B67206"/>
    <w:rsid w:val="00BC3AEC"/>
    <w:rsid w:val="00BD1EDE"/>
    <w:rsid w:val="00C02DC0"/>
    <w:rsid w:val="00C24FAF"/>
    <w:rsid w:val="00C622B1"/>
    <w:rsid w:val="00CA1CDF"/>
    <w:rsid w:val="00CC5283"/>
    <w:rsid w:val="00CF427A"/>
    <w:rsid w:val="00D720EE"/>
    <w:rsid w:val="00DA53DD"/>
    <w:rsid w:val="00DD502A"/>
    <w:rsid w:val="00DE2CB5"/>
    <w:rsid w:val="00DF4E65"/>
    <w:rsid w:val="00DF7AE7"/>
    <w:rsid w:val="00E02497"/>
    <w:rsid w:val="00E02FE4"/>
    <w:rsid w:val="00E14050"/>
    <w:rsid w:val="00E21107"/>
    <w:rsid w:val="00E51584"/>
    <w:rsid w:val="00E5489B"/>
    <w:rsid w:val="00E83A6A"/>
    <w:rsid w:val="00E85B67"/>
    <w:rsid w:val="00E91BD4"/>
    <w:rsid w:val="00ED3FAD"/>
    <w:rsid w:val="00EF788B"/>
    <w:rsid w:val="00F12FB1"/>
    <w:rsid w:val="00F2233E"/>
    <w:rsid w:val="00F33F01"/>
    <w:rsid w:val="00F4669E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15AD9"/>
  <w15:chartTrackingRefBased/>
  <w15:docId w15:val="{3D7F4149-CDE5-4742-8611-ED6E191A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252ACF"/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paragraph" w:customStyle="1" w:styleId="StyleHeading6">
    <w:name w:val="Style Heading 6"/>
    <w:basedOn w:val="Heading6"/>
    <w:rsid w:val="003D1B55"/>
    <w:pPr>
      <w:tabs>
        <w:tab w:val="clear" w:pos="180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65979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A5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7402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78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16193">
          <w:marLeft w:val="0"/>
          <w:marRight w:val="0"/>
          <w:marTop w:val="360"/>
          <w:marBottom w:val="36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</w:div>
        <w:div w:id="12896254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73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7767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3294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4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183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18407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75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9646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377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93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13332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629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0459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3579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6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0595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918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86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4442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20815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172">
              <w:marLeft w:val="0"/>
              <w:marRight w:val="0"/>
              <w:marTop w:val="360"/>
              <w:marBottom w:val="360"/>
              <w:divBdr>
                <w:top w:val="single" w:sz="6" w:space="9" w:color="EBEBEB"/>
                <w:left w:val="single" w:sz="6" w:space="9" w:color="EBEBEB"/>
                <w:bottom w:val="single" w:sz="6" w:space="9" w:color="EBEBEB"/>
                <w:right w:val="single" w:sz="6" w:space="9" w:color="EBEBEB"/>
              </w:divBdr>
            </w:div>
            <w:div w:id="20326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irs.gov/retirement-plans/plan-participant-employee/retirement-topics-403b-contribution-limi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Tim Marker</cp:lastModifiedBy>
  <cp:revision>10</cp:revision>
  <dcterms:created xsi:type="dcterms:W3CDTF">2021-10-26T19:33:00Z</dcterms:created>
  <dcterms:modified xsi:type="dcterms:W3CDTF">2024-11-16T19:13:00Z</dcterms:modified>
</cp:coreProperties>
</file>